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Исходные данные (информация) для рассмотрения на техническом совете ФКУ Упрдор "Кавказ" вопросов получения технических условий на проектирование инженерных коммуникаций.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официальное письмо Заявителя (адрес, тел./факс, адрес электронной почты) с запросом на выдачу ТУ;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наименование автомобильной дороги общего пользования федерального значения в соответствии с Приказом Федерального дорожного агентства от 30 апреля 2010 г. № 39 "О присвоении наименований и идентификационных номеров автомобильным дорогам общего пользования федерального значения";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адрес проектируемого перехода через автомобильную дорогу (км+м);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при параллельном прохождении коммуникаций - адрес участка вдоль автомобильной дороги общего пользования федерального значения (км+м - км+м);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ситуационный план перехода с  привязкой к километражу автомобильной дороги общего пользования федерального значения в масштабе 1:1000 (1:500);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в случае размещения коммуникаций вдоль автомобильной дороги общего пользования федерального значения - план трассы проектируемых коммуникаций относительно автомобильной дороги в масштабе 1:2000 (для направления в ФДА на предварительное согласование);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общий план трассы коммуникаций относительно автомобильной дороги общего пользования федерального значения в масштабе 1:2000 - 1:5000 (для рассмотрения на тех. совете ФКУ Упрдор "Кавказ");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50"/>
          <w:tab w:val="left" w:pos="1700"/>
          <w:tab w:val="left" w:pos="2550"/>
          <w:tab w:val="left" w:pos="3401"/>
          <w:tab w:val="left" w:pos="4250"/>
          <w:tab w:val="left" w:pos="5101"/>
          <w:tab w:val="left" w:pos="5951"/>
          <w:tab w:val="left" w:pos="6802"/>
          <w:tab w:val="left" w:pos="7651"/>
          <w:tab w:val="left" w:pos="8502"/>
        </w:tabs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вопросы, связанные с уточнением наименование автомобильной дороги, километража, получением технических характеристик автомобильной дороги и заключения о возможности размещения коммуникаций с учетом перспективной реконструкции автомобильной дороги и безопасности дорожного движения (письменное заключение ПРИЛАГАЕТСЯ к Заявке на получение ТУ, либо направляется письмом филиала с приложением документов Заявителя) необходимо получать в филиалах ФКУ Упрдор "Кавказ":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КБР (г. Нальчик, ул. Суворова, 133, тел. (8662) 77-43-21, (8662) 77-43-44, (8662) 77-39-16);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РСО-Алания (г. Владикавказ, ул. Гадиева,81-а, тел. (8672) 52-94-85, 52-94-52, 52-79-70);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КЧР (369000, КЧР, г. Черкесск, ул. Космонавтов, д. 60а, тел. (87822) 7-77-87, факс (87822) 7-17-93);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  <w:tab/>
        <w:t xml:space="preserve">в случае проектирования коммуникаций по Ставропольскому краю - от </w:t>
        <w:tab/>
        <w:t xml:space="preserve">дорожной </w:t>
        <w:tab/>
        <w:t xml:space="preserve">службы ООО «Дорснаб» (Краснодарский край, г. Армавир, </w:t>
        <w:tab/>
        <w:t xml:space="preserve">Промзона </w:t>
        <w:tab/>
        <w:t xml:space="preserve">16, </w:t>
        <w:tab/>
        <w:t xml:space="preserve">тел. (86137) 4-09-55);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в Представительстве ФКУ Упрдор "Кавказ" в Республике Ингушетия (г. </w:t>
        <w:tab/>
        <w:t xml:space="preserve">Назрань, ул. Школьная, 5, тел. (8732) 22-42-77).</w:t>
      </w:r>
    </w:p>
    <w:sectPr>
      <w:pgSz w:h="16838" w:w="11906"/>
      <w:pgMar w:bottom="1134" w:top="1134" w:left="900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104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